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bCs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внесении изменен</w:t>
      </w:r>
      <w:r>
        <w:rPr>
          <w:bCs/>
          <w:sz w:val="28"/>
          <w:szCs w:val="28"/>
        </w:rPr>
        <w:t xml:space="preserve">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</w:t>
      </w:r>
      <w:r>
        <w:rPr>
          <w:bCs/>
          <w:sz w:val="28"/>
          <w:szCs w:val="28"/>
        </w:rPr>
        <w:t xml:space="preserve">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  <w:r>
        <w:rPr>
          <w:sz w:val="28"/>
          <w:szCs w:val="28"/>
        </w:rPr>
      </w:r>
      <w:r/>
    </w:p>
    <w:p>
      <w:pPr>
        <w:pStyle w:val="648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области» на 2020 – 2025 годы»,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48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троку «</w:t>
      </w:r>
      <w:r>
        <w:rPr>
          <w:sz w:val="28"/>
          <w:szCs w:val="28"/>
        </w:rPr>
        <w:t xml:space="preserve">Ресурсное обеспечение реализации государственной программы з</w:t>
      </w:r>
      <w:r>
        <w:rPr>
          <w:sz w:val="28"/>
          <w:szCs w:val="28"/>
        </w:rPr>
        <w:t xml:space="preserve">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</w:t>
      </w:r>
      <w:r>
        <w:rPr>
          <w:bCs/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на 2020 – 2025 годы</w:t>
      </w:r>
      <w:r>
        <w:rPr>
          <w:bCs/>
          <w:sz w:val="28"/>
          <w:szCs w:val="28"/>
        </w:rPr>
        <w:t xml:space="preserve">» изложить в следующей редакции:</w:t>
      </w:r>
      <w:r/>
    </w:p>
    <w:p>
      <w:pPr>
        <w:pStyle w:val="64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963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1276"/>
        <w:gridCol w:w="1559"/>
        <w:gridCol w:w="1134"/>
        <w:gridCol w:w="1416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«Ресурсное обе</w:t>
            </w:r>
            <w:r>
              <w:rPr>
                <w:lang w:eastAsia="en-US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lang w:eastAsia="en-US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3" w:type="dxa"/>
            <w:vAlign w:val="top"/>
            <w:textDirection w:val="lrTb"/>
            <w:noWrap w:val="false"/>
          </w:tcPr>
          <w:p>
            <w:pPr>
              <w:pStyle w:val="648"/>
              <w:jc w:val="both"/>
            </w:pPr>
            <w:r>
              <w:rPr>
                <w:lang w:eastAsia="en-US"/>
              </w:rPr>
              <w:t xml:space="preserve">Общий объем финансирования государственной программы за счет всех источников составит 9267834,90</w:t>
            </w:r>
            <w:r>
              <w:rPr>
                <w:lang w:eastAsia="en-US"/>
              </w:rPr>
              <w:t xml:space="preserve"> тыс. рублей*, в том числе за счет средств областного бюджета – 6665556,96</w:t>
            </w:r>
            <w:r>
              <w:rPr>
                <w:lang w:eastAsia="en-US"/>
              </w:rPr>
              <w:t xml:space="preserve"> тыс. рублей:</w:t>
            </w:r>
            <w:r>
              <w:rPr>
                <w:lang w:eastAsia="en-US"/>
              </w:rPr>
            </w:r>
            <w:r/>
          </w:p>
          <w:p>
            <w:pPr>
              <w:pStyle w:val="648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(тыс. рублей)</w:t>
            </w:r>
            <w:r>
              <w:rPr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ный бюджет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Бюджеты муниципаль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ных образований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Внебюд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жетные источ-ники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</w:t>
            </w:r>
            <w:r>
              <w:rPr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74635,91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702831,86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4695,15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782162,92</w:t>
            </w:r>
            <w:r>
              <w:rPr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910402,2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495618,1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1992,0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1408012,30</w:t>
            </w:r>
            <w:r>
              <w:rPr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2022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655922,3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870684,4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310,42</w:t>
            </w:r>
            <w:r>
              <w:rPr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1526914,12</w:t>
            </w:r>
            <w:r>
              <w:rPr>
                <w:lang w:val="en-US"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val="ru-RU"/>
              </w:rPr>
              <w:t xml:space="preserve">954319,96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3172320,70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4126640,66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1191521,4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1191521,4</w:t>
            </w:r>
            <w:r>
              <w:rPr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232580,5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232580,5</w:t>
            </w:r>
            <w:r>
              <w:rPr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2595280,37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6665556,96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6997,57</w:t>
            </w:r>
            <w:r>
              <w:rPr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9267834,90</w:t>
            </w:r>
            <w:r>
              <w:rPr>
                <w:lang w:eastAsia="en-US"/>
              </w:rPr>
              <w:t xml:space="preserve">».</w:t>
            </w:r>
            <w:r>
              <w:rPr>
                <w:lang w:eastAsia="en-US"/>
              </w:rPr>
            </w:r>
            <w:r/>
          </w:p>
        </w:tc>
      </w:tr>
    </w:tbl>
    <w:p>
      <w:pPr>
        <w:pStyle w:val="64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раздел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Основное мероприятие: «</w:t>
      </w:r>
      <w:r>
        <w:rPr>
          <w:sz w:val="28"/>
          <w:szCs w:val="28"/>
        </w:rPr>
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</w:t>
      </w:r>
      <w:r>
        <w:rPr>
          <w:sz w:val="28"/>
          <w:szCs w:val="28"/>
        </w:rPr>
        <w:t xml:space="preserve">ые условия проживания населения»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таблицы 2 раздела </w:t>
      </w:r>
      <w:r>
        <w:rPr>
          <w:sz w:val="28"/>
          <w:szCs w:val="28"/>
        </w:rPr>
        <w:t xml:space="preserve">7 «Система программных мероприяти</w:t>
      </w:r>
      <w:r>
        <w:rPr>
          <w:sz w:val="28"/>
          <w:szCs w:val="28"/>
          <w:highlight w:val="none"/>
        </w:rPr>
        <w:t xml:space="preserve">й» пункт 1.61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62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1843"/>
        <w:gridCol w:w="1559"/>
        <w:gridCol w:w="709"/>
        <w:gridCol w:w="1559"/>
        <w:gridCol w:w="1559"/>
        <w:gridCol w:w="1629"/>
      </w:tblGrid>
      <w:tr>
        <w:trPr>
          <w:trHeight w:val="3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«1.61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8"/>
            </w:pPr>
            <w:r>
              <w:t xml:space="preserve">Покрытие расходов по оплате </w:t>
            </w:r>
            <w:r>
              <w:t xml:space="preserve">коммунальны</w:t>
            </w:r>
            <w:r>
              <w:t xml:space="preserve">х платежей учреждени</w:t>
            </w:r>
            <w:r>
              <w:t xml:space="preserve">й бюджетной сферы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</w:pPr>
            <w:r>
              <w:t xml:space="preserve">Д</w:t>
            </w:r>
            <w:r>
              <w:t xml:space="preserve">епартамент строительс</w:t>
            </w:r>
            <w:r>
              <w:t xml:space="preserve">-тва и </w:t>
            </w:r>
            <w:r>
              <w:t xml:space="preserve">жилищно-коммуналь</w:t>
            </w:r>
            <w:r>
              <w:t xml:space="preserve">-</w:t>
            </w:r>
            <w:r>
              <w:t xml:space="preserve">ного хозяйства правитель</w:t>
            </w:r>
            <w:r>
              <w:t xml:space="preserve">-</w:t>
            </w:r>
            <w:r>
              <w:t xml:space="preserve">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2022 –2023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</w:pPr>
            <w:r>
              <w:t xml:space="preserve">Оплата расходов на коммуналь-ные услуги в 2022 году не менее чем 162 учреждениям бюджетной сферы, в 2023 году </w:t>
            </w:r>
            <w:r>
              <w:t xml:space="preserve">не менее чем 150 учреждениям бюджетной сферы</w:t>
            </w:r>
            <w:r/>
            <w:r/>
            <w:r/>
          </w:p>
          <w:p>
            <w:pPr>
              <w:pStyle w:val="64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</w:pPr>
            <w:r>
              <w:t xml:space="preserve">Ухудшение качества предоставле</w:t>
            </w:r>
            <w:r>
              <w:t xml:space="preserve">-</w:t>
            </w:r>
            <w:r>
              <w:t xml:space="preserve">ния коммуналь</w:t>
            </w:r>
            <w:r>
              <w:t xml:space="preserve">-</w:t>
            </w:r>
            <w:r>
              <w:t xml:space="preserve">ной услуги по теплоснаб</w:t>
            </w:r>
            <w:r>
              <w:t xml:space="preserve">-</w:t>
            </w:r>
            <w:r>
              <w:t xml:space="preserve">жению</w:t>
            </w:r>
            <w:r/>
          </w:p>
          <w:p>
            <w:pPr>
              <w:pStyle w:val="64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top"/>
            <w:textDirection w:val="lrTb"/>
            <w:noWrap w:val="false"/>
          </w:tcPr>
          <w:p>
            <w:pPr>
              <w:pStyle w:val="648"/>
            </w:pPr>
            <w:r>
              <w:t xml:space="preserve">Показатель (индикатор) № 3 из таблицы 1 «Сведения о показателях (индикат</w:t>
            </w:r>
            <w:r>
              <w:t xml:space="preserve">орах) государствен-ной программы</w:t>
            </w:r>
            <w:r>
              <w:t xml:space="preserve">»</w:t>
            </w:r>
            <w:r>
              <w:t xml:space="preserve">.</w:t>
            </w:r>
            <w:r/>
          </w:p>
        </w:tc>
      </w:tr>
    </w:tbl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10 «Ресурсное обеспечение реализации государственной программы»:</w:t>
      </w:r>
      <w:r/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абзацы первый –</w:t>
      </w:r>
      <w:r>
        <w:rPr>
          <w:sz w:val="28"/>
          <w:szCs w:val="28"/>
        </w:rPr>
        <w:t xml:space="preserve"> четвертый</w:t>
      </w:r>
      <w:r>
        <w:rPr>
          <w:sz w:val="28"/>
          <w:szCs w:val="28"/>
        </w:rPr>
        <w:t xml:space="preserve"> изложить в следующей редакции:</w:t>
      </w:r>
      <w:r/>
    </w:p>
    <w:p>
      <w:pPr>
        <w:pStyle w:val="648"/>
        <w:jc w:val="both"/>
        <w:rPr>
          <w:lang w:eastAsia="en-US"/>
        </w:rPr>
      </w:pPr>
      <w:r>
        <w:rPr>
          <w:sz w:val="28"/>
          <w:szCs w:val="28"/>
        </w:rPr>
        <w:tab/>
        <w:t xml:space="preserve">«</w:t>
      </w:r>
      <w:r>
        <w:rPr>
          <w:sz w:val="28"/>
          <w:szCs w:val="28"/>
          <w:lang w:eastAsia="en-US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в 2020 – 2025 годах составит </w:t>
      </w:r>
      <w:r>
        <w:rPr>
          <w:sz w:val="28"/>
          <w:szCs w:val="28"/>
          <w:lang w:eastAsia="en-US"/>
        </w:rPr>
        <w:t xml:space="preserve">9267834,90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тыс. рублей, в том числе:</w:t>
      </w:r>
      <w:r>
        <w:rPr>
          <w:lang w:eastAsia="en-US"/>
        </w:rPr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>
        <w:rPr>
          <w:sz w:val="28"/>
          <w:szCs w:val="28"/>
          <w:lang w:eastAsia="en-US"/>
        </w:rPr>
        <w:t xml:space="preserve">6665556,96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</w:t>
      </w:r>
      <w:r>
        <w:rPr>
          <w:sz w:val="28"/>
          <w:szCs w:val="28"/>
        </w:rPr>
        <w:t xml:space="preserve">2595280,37</w:t>
      </w:r>
      <w:r>
        <w:rPr>
          <w:sz w:val="28"/>
          <w:szCs w:val="28"/>
        </w:rPr>
        <w:t xml:space="preserve"> тыс. рублей;</w:t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бюджеты муниципальных образований – 6997,57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в</w:t>
      </w:r>
      <w:r>
        <w:rPr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HYPERLINK "consultantplus://offline/ref=9DCB46296CBFCEEBCB8A79E91F882BF49AB291F121A822B9DF86EA6EC90FC5268661A52BC317815D9473FF0592524047CE783068182CEBF51CF256B5K0D"</w:instrText>
      </w:r>
      <w:r>
        <w:fldChar w:fldCharType="separate"/>
      </w:r>
      <w:r>
        <w:rPr>
          <w:sz w:val="28"/>
          <w:szCs w:val="28"/>
          <w:lang w:eastAsia="en-US"/>
        </w:rPr>
        <w:t xml:space="preserve">таблице 4</w:t>
      </w:r>
      <w:r>
        <w:fldChar w:fldCharType="end"/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источников»:</w:t>
      </w:r>
      <w:r>
        <w:rPr>
          <w:sz w:val="28"/>
          <w:szCs w:val="28"/>
        </w:rPr>
      </w:r>
      <w:r/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firstLine="709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65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строку:</w:t>
      </w:r>
      <w:r/>
    </w:p>
    <w:p>
      <w:pPr>
        <w:pStyle w:val="65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1984"/>
        <w:gridCol w:w="1417"/>
        <w:gridCol w:w="1276"/>
        <w:gridCol w:w="1417"/>
        <w:gridCol w:w="1701"/>
        <w:gridCol w:w="1559"/>
        <w:gridCol w:w="1417"/>
        <w:gridCol w:w="1312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>
              <w:t xml:space="preserve">«Государственная программа «Модернизация объектов коммунальной инфраструктуры в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8705008,90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782162,92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1408012,3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1526917,12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3563814,66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1191521,40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jc w:val="center"/>
            </w:pPr>
            <w:r>
              <w:t xml:space="preserve">232580,50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6665556,96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702831,86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495618,1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870684,4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3172320,70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1191521,40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jc w:val="center"/>
            </w:pPr>
            <w:r>
              <w:t xml:space="preserve">232580,50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2032454,37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74635,910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910402,20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655922,30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391493,96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6997,57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1992,00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310,42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>
              <w:t xml:space="preserve">»</w:t>
            </w:r>
            <w:r/>
            <w:r/>
          </w:p>
        </w:tc>
      </w:tr>
    </w:tbl>
    <w:p>
      <w:pPr>
        <w:pStyle w:val="648"/>
        <w:jc w:val="both"/>
      </w:pPr>
      <w:r/>
      <w:r/>
    </w:p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заменить строкой:</w:t>
      </w:r>
      <w:r/>
    </w:p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299"/>
        <w:gridCol w:w="2013"/>
        <w:gridCol w:w="1406"/>
        <w:gridCol w:w="1276"/>
        <w:gridCol w:w="1433"/>
        <w:gridCol w:w="1724"/>
        <w:gridCol w:w="1559"/>
        <w:gridCol w:w="1417"/>
        <w:gridCol w:w="1276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restart"/>
            <w:textDirection w:val="lrTb"/>
            <w:noWrap w:val="false"/>
          </w:tcPr>
          <w:p>
            <w:r>
              <w:t xml:space="preserve">«Государственная программа «Модернизация объектов коммунальной инфраструктуры в Еврейской автономной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r>
              <w:t xml:space="preserve">9267834,90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782162,92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r>
              <w:t xml:space="preserve">1408012,3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r>
              <w:t xml:space="preserve">1526917,12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4126640,66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1191521,40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232580,50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r>
              <w:t xml:space="preserve">6665556,96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702831,86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r>
              <w:t xml:space="preserve">495618,1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r>
              <w:t xml:space="preserve">870684,4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3172320,70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1191521,40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232580,50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r>
              <w:t xml:space="preserve">2595280,37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74635,910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r>
              <w:t xml:space="preserve">910402,20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r>
              <w:t xml:space="preserve">655922,30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954319,96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r>
              <w:t xml:space="preserve">6997,57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r>
              <w:t xml:space="preserve">1992,00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r>
              <w:t xml:space="preserve">310,42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3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>
              <w:t xml:space="preserve">»;</w:t>
            </w:r>
            <w:r/>
          </w:p>
        </w:tc>
      </w:tr>
    </w:tbl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:</w:t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</w:t>
      </w:r>
      <w:r>
        <w:rPr>
          <w:sz w:val="28"/>
          <w:szCs w:val="28"/>
        </w:rPr>
        <w:t xml:space="preserve"> </w:t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6"/>
        <w:gridCol w:w="2209"/>
        <w:gridCol w:w="1789"/>
        <w:gridCol w:w="1414"/>
        <w:gridCol w:w="1414"/>
        <w:gridCol w:w="1401"/>
        <w:gridCol w:w="1134"/>
        <w:gridCol w:w="1701"/>
        <w:gridCol w:w="1276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2327629,25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271804,29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309637,36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648055,6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443851,50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654280,50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1819965,56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267863,06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79446,5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374524,0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443851,5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654280,50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503717,40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230187,0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273530,4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3946,29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3941,23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3,86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48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строкой:</w:t>
      </w:r>
      <w:r>
        <w:rPr>
          <w:sz w:val="28"/>
          <w:szCs w:val="28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2388"/>
        <w:gridCol w:w="2028"/>
        <w:gridCol w:w="1417"/>
        <w:gridCol w:w="1286"/>
        <w:gridCol w:w="1450"/>
        <w:gridCol w:w="1073"/>
        <w:gridCol w:w="1717"/>
        <w:gridCol w:w="1259"/>
        <w:gridCol w:w="1559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Merge w:val="restart"/>
            <w:textDirection w:val="lrTb"/>
            <w:noWrap w:val="false"/>
          </w:tcPr>
          <w:p>
            <w:r>
              <w:t xml:space="preserve">«1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8" w:type="dxa"/>
            <w:vMerge w:val="restart"/>
            <w:textDirection w:val="lrTb"/>
            <w:noWrap w:val="false"/>
          </w:tcPr>
          <w:p>
            <w:r>
              <w:t xml:space="preserve"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  <w:br/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8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2523285,25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textDirection w:val="lrTb"/>
            <w:noWrap w:val="false"/>
          </w:tcPr>
          <w:p>
            <w:r>
              <w:t xml:space="preserve">271804,29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0" w:type="dxa"/>
            <w:textDirection w:val="lrTb"/>
            <w:noWrap w:val="false"/>
          </w:tcPr>
          <w:p>
            <w:r>
              <w:t xml:space="preserve">309637,36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r>
              <w:t xml:space="preserve">648055,6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7" w:type="dxa"/>
            <w:textDirection w:val="lrTb"/>
            <w:noWrap w:val="false"/>
          </w:tcPr>
          <w:p>
            <w:r>
              <w:t xml:space="preserve">639507,50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textDirection w:val="lrTb"/>
            <w:noWrap w:val="false"/>
          </w:tcPr>
          <w:p>
            <w:r>
              <w:t xml:space="preserve">654280,50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8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1819965,56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textDirection w:val="lrTb"/>
            <w:noWrap w:val="false"/>
          </w:tcPr>
          <w:p>
            <w:r>
              <w:t xml:space="preserve">267863,06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0" w:type="dxa"/>
            <w:textDirection w:val="lrTb"/>
            <w:noWrap w:val="false"/>
          </w:tcPr>
          <w:p>
            <w:r>
              <w:t xml:space="preserve">79446,5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r>
              <w:t xml:space="preserve">374524,0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7" w:type="dxa"/>
            <w:textDirection w:val="lrTb"/>
            <w:noWrap w:val="false"/>
          </w:tcPr>
          <w:p>
            <w:r>
              <w:t xml:space="preserve">443851,5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textDirection w:val="lrTb"/>
            <w:noWrap w:val="false"/>
          </w:tcPr>
          <w:p>
            <w:r>
              <w:t xml:space="preserve">654280,50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8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699373,40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0" w:type="dxa"/>
            <w:textDirection w:val="lrTb"/>
            <w:noWrap w:val="false"/>
          </w:tcPr>
          <w:p>
            <w:r>
              <w:t xml:space="preserve">230187,0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r>
              <w:t xml:space="preserve">273530,4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7" w:type="dxa"/>
            <w:textDirection w:val="lrTb"/>
            <w:noWrap w:val="false"/>
          </w:tcPr>
          <w:p>
            <w:r>
              <w:t xml:space="preserve">195656,0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8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3946,29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textDirection w:val="lrTb"/>
            <w:noWrap w:val="false"/>
          </w:tcPr>
          <w:p>
            <w:r>
              <w:t xml:space="preserve">3941,23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0" w:type="dxa"/>
            <w:textDirection w:val="lrTb"/>
            <w:noWrap w:val="false"/>
          </w:tcPr>
          <w:p>
            <w:r>
              <w:t xml:space="preserve">3,86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r>
              <w:t xml:space="preserve">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</w:tr>
      <w:tr>
        <w:trPr>
          <w:trHeight w:val="6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8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подпункт 1.561 изложить в следующей редакции:</w:t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355"/>
        <w:gridCol w:w="2071"/>
        <w:gridCol w:w="1405"/>
        <w:gridCol w:w="1185"/>
        <w:gridCol w:w="1369"/>
        <w:gridCol w:w="1381"/>
        <w:gridCol w:w="1491"/>
        <w:gridCol w:w="1345"/>
        <w:gridCol w:w="1480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5" w:type="dxa"/>
            <w:vMerge w:val="restart"/>
            <w:textDirection w:val="lrTb"/>
            <w:noWrap w:val="false"/>
          </w:tcPr>
          <w:p>
            <w:r>
              <w:t xml:space="preserve">«1.61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Merge w:val="restart"/>
            <w:textDirection w:val="lrTb"/>
            <w:noWrap w:val="false"/>
          </w:tcPr>
          <w:p>
            <w:r>
              <w:t xml:space="preserve">Мероприятия по покрытию расходов по оплате коммунальных платежей учреждений бюджетной сферы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textDirection w:val="lrTb"/>
            <w:noWrap w:val="false"/>
          </w:tcPr>
          <w:p>
            <w:r>
              <w:t xml:space="preserve">344971,2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textDirection w:val="lrTb"/>
            <w:noWrap w:val="false"/>
          </w:tcPr>
          <w:p>
            <w:r>
              <w:t xml:space="preserve">149315,2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1" w:type="dxa"/>
            <w:textDirection w:val="lrTb"/>
            <w:noWrap w:val="false"/>
          </w:tcPr>
          <w:p>
            <w:r>
              <w:t xml:space="preserve">195656,0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textDirection w:val="lrTb"/>
            <w:noWrap w:val="false"/>
          </w:tcPr>
          <w:p>
            <w:r>
              <w:t xml:space="preserve">344971,2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textDirection w:val="lrTb"/>
            <w:noWrap w:val="false"/>
          </w:tcPr>
          <w:p>
            <w:r>
              <w:t xml:space="preserve">149315,2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1" w:type="dxa"/>
            <w:textDirection w:val="lrTb"/>
            <w:noWrap w:val="false"/>
          </w:tcPr>
          <w:p>
            <w:r>
              <w:t xml:space="preserve">195656,0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1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0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пункт 3 изложить в следующей редакции:</w:t>
      </w:r>
      <w:r/>
    </w:p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690"/>
        <w:gridCol w:w="2535"/>
        <w:gridCol w:w="2160"/>
        <w:gridCol w:w="1515"/>
        <w:gridCol w:w="1380"/>
        <w:gridCol w:w="1605"/>
        <w:gridCol w:w="1485"/>
        <w:gridCol w:w="1620"/>
        <w:gridCol w:w="1575"/>
        <w:gridCol w:w="1500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restart"/>
            <w:textDirection w:val="lrTb"/>
            <w:noWrap w:val="false"/>
          </w:tcPr>
          <w:p>
            <w:r>
              <w:t xml:space="preserve">«3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restart"/>
            <w:textDirection w:val="lrTb"/>
            <w:noWrap w:val="false"/>
          </w:tcPr>
          <w:p>
            <w:r>
              <w:t xml:space="preserve">Основное мероприятие: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2413898,50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415330,90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428571,70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460966,5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858669,4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30912,0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219448,0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1398407,80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415330,90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101571,70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139645,8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491499,4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30912,0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219448,0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1015490,7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327000,0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321320,7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367170,0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restart"/>
            <w:textDirection w:val="lrTb"/>
            <w:noWrap w:val="false"/>
          </w:tcPr>
          <w:p>
            <w:r>
              <w:t xml:space="preserve">3.1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restart"/>
            <w:textDirection w:val="lrTb"/>
            <w:noWrap w:val="false"/>
          </w:tcPr>
          <w:p>
            <w:r>
              <w:t xml:space="preserve"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2413898,5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415330,9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428571,7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460966,5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858669,4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30912,0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219448,0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1398407,8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415330,9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101571,7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139645,8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491499,4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30912,0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219448,0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1015490,7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327000,0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321320,7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367170,0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fldChar w:fldCharType="begin"/>
      </w:r>
      <w:r>
        <w:instrText xml:space="preserve">HYPERLINK "consultantplus://offline/ref=E01D79E557A21C47AABF06E632ED60674687BD795E46C41E6DEBAED245234EB9CB504438C08D5D6BFF2999C7BDBF4F954E0C43E88187C3024F90A6c8Y1D"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таблицу 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«Структура финансирования государственной программы» изложить в следующей редакции:</w:t>
      </w:r>
      <w:r/>
    </w:p>
    <w:p>
      <w:pPr>
        <w:pStyle w:val="657"/>
        <w:ind w:firstLine="0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7"/>
        <w:ind w:left="12744" w:firstLine="0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«Таблица 5</w:t>
      </w:r>
      <w:r/>
    </w:p>
    <w:p>
      <w:pPr>
        <w:pStyle w:val="657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Структура финансирования государственной программы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7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2685"/>
        <w:gridCol w:w="1680"/>
        <w:gridCol w:w="1320"/>
        <w:gridCol w:w="1455"/>
        <w:gridCol w:w="1590"/>
        <w:gridCol w:w="1335"/>
        <w:gridCol w:w="1350"/>
        <w:gridCol w:w="1320"/>
      </w:tblGrid>
      <w:tr>
        <w:trPr>
          <w:trHeight w:val="6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restart"/>
            <w:textDirection w:val="lrTb"/>
            <w:noWrap w:val="false"/>
          </w:tcPr>
          <w:p>
            <w:r>
              <w:t xml:space="preserve">Источники и направления расходов</w:t>
            </w:r>
            <w:r/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0" w:type="dxa"/>
            <w:textDirection w:val="lrTb"/>
            <w:noWrap w:val="false"/>
          </w:tcPr>
          <w:p>
            <w:r>
              <w:t xml:space="preserve"> Расходы (тыс. рублей), годы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Merge w:val="restart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70" w:type="dxa"/>
            <w:textDirection w:val="lrTb"/>
            <w:noWrap w:val="false"/>
          </w:tcPr>
          <w:p>
            <w:r>
              <w:t xml:space="preserve">В том числе по годам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2020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2021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2022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2023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*2024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*2025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9 267 834,90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782 162,92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1 408 012,30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1 526 917,12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4 126 640,66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1 191 521,40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232 580,50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6 665 556,96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702 831,86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495 618,1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870 684,40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3 172 320,7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1 191 521,40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232 580,50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2 595 280,37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910402,20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655922,30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954319,96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6 997,57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1992,00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310,42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5" w:type="dxa"/>
            <w:textDirection w:val="lrTb"/>
            <w:noWrap w:val="false"/>
          </w:tcPr>
          <w:p>
            <w:r>
              <w:t xml:space="preserve">Капитальные вложения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1719230,09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172447,89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40000,00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458962,40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502392,40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545427,40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1599899,03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93116,83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458962,40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502392,40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545427,40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114635,91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40000,00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5" w:type="dxa"/>
            <w:textDirection w:val="lrTb"/>
            <w:noWrap w:val="false"/>
          </w:tcPr>
          <w:p>
            <w:r>
              <w:t xml:space="preserve">НИОКР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5" w:type="dxa"/>
            <w:textDirection w:val="lrTb"/>
            <w:noWrap w:val="false"/>
          </w:tcPr>
          <w:p>
            <w:r>
              <w:t xml:space="preserve">Прочие расходы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7548604,81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609715,03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1368012,3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1067954,72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3624248,26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646094,0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232580,50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t xml:space="preserve">5065657,93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609715,03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495618,1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411722,0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2669928,30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646094,0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232580,50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t xml:space="preserve">2480644,46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870402,20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655922,30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954319,96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t xml:space="preserve">2302,42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1992,00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310,42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  <w:p>
            <w:pP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48"/>
        <w:ind w:firstLine="540"/>
        <w:jc w:val="both"/>
      </w:pPr>
      <w:r>
        <w:rPr>
          <w:sz w:val="28"/>
          <w:szCs w:val="28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48"/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убернатор области </w:t>
      </w:r>
      <w:r>
        <w:rPr>
          <w:sz w:val="28"/>
        </w:rPr>
        <w:tab/>
        <w:tab/>
        <w:tab/>
        <w:tab/>
        <w:tab/>
        <w:tab/>
        <w:tab/>
        <w:t xml:space="preserve">   Р.Э. Гольдштейн</w:t>
      </w:r>
      <w:r>
        <w:rPr>
          <w:sz w:val="28"/>
        </w:rPr>
      </w:r>
      <w:r/>
    </w:p>
    <w:p>
      <w:pPr>
        <w:pStyle w:val="648"/>
        <w:jc w:val="both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00603000000000000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MS Mincho">
    <w:panose1 w:val="0202060904020508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/>
  </w:p>
  <w:p>
    <w:pPr>
      <w:pStyle w:val="659"/>
      <w:rPr>
        <w:lang w:val="ru-RU"/>
      </w:rPr>
    </w:pPr>
    <w:r>
      <w:rPr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rPr>
        <w:rStyle w:val="661"/>
      </w:rPr>
      <w:framePr w:wrap="around" w:vAnchor="text" w:hAnchor="margin" w:xAlign="center" w:y="1"/>
    </w:pPr>
    <w:r>
      <w:rPr>
        <w:rStyle w:val="661"/>
      </w:rPr>
      <w:fldChar w:fldCharType="begin"/>
    </w:r>
    <w:r>
      <w:rPr>
        <w:rStyle w:val="661"/>
      </w:rPr>
      <w:instrText xml:space="preserve">PAGE  </w:instrText>
    </w:r>
    <w:r>
      <w:rPr>
        <w:rStyle w:val="661"/>
      </w:rPr>
      <w:fldChar w:fldCharType="end"/>
    </w:r>
    <w:r>
      <w:rPr>
        <w:rStyle w:val="661"/>
      </w:rPr>
    </w:r>
    <w:r/>
  </w:p>
  <w:p>
    <w:pPr>
      <w:pStyle w:val="6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04" w:hanging="109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48"/>
        <w:ind w:left="142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48"/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8"/>
        <w:ind w:left="28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8"/>
        <w:ind w:left="35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8"/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8"/>
        <w:ind w:left="50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8"/>
        <w:ind w:left="57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8"/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8"/>
        <w:ind w:left="7185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48"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48"/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8"/>
        <w:ind w:left="25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8"/>
        <w:ind w:left="32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8"/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8"/>
        <w:ind w:left="46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8"/>
        <w:ind w:left="53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8"/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8"/>
        <w:ind w:left="682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64" w:hanging="115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8"/>
    <w:next w:val="64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8"/>
    <w:next w:val="64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8"/>
    <w:next w:val="6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8"/>
    <w:next w:val="6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4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next w:val="648"/>
    <w:link w:val="648"/>
    <w:qFormat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649">
    <w:name w:val="Заголовок 1"/>
    <w:basedOn w:val="648"/>
    <w:next w:val="648"/>
    <w:link w:val="653"/>
    <w:uiPriority w:val="9"/>
    <w:qFormat/>
    <w:pPr>
      <w:keepNext/>
      <w:outlineLvl w:val="0"/>
    </w:pPr>
    <w:rPr>
      <w:lang w:val="en-US"/>
    </w:rPr>
  </w:style>
  <w:style w:type="character" w:styleId="650">
    <w:name w:val="Основной шрифт абзаца"/>
    <w:next w:val="650"/>
    <w:link w:val="648"/>
    <w:uiPriority w:val="1"/>
    <w:semiHidden/>
    <w:unhideWhenUsed/>
  </w:style>
  <w:style w:type="table" w:styleId="651">
    <w:name w:val="Обычная таблица"/>
    <w:next w:val="651"/>
    <w:link w:val="648"/>
    <w:uiPriority w:val="99"/>
    <w:semiHidden/>
    <w:unhideWhenUsed/>
    <w:qFormat/>
    <w:tblPr/>
  </w:style>
  <w:style w:type="numbering" w:styleId="652">
    <w:name w:val="Нет списка"/>
    <w:next w:val="652"/>
    <w:link w:val="648"/>
    <w:uiPriority w:val="99"/>
    <w:semiHidden/>
    <w:unhideWhenUsed/>
  </w:style>
  <w:style w:type="character" w:styleId="653">
    <w:name w:val="Заголовок 1 Знак"/>
    <w:next w:val="653"/>
    <w:link w:val="649"/>
    <w:uiPriority w:val="9"/>
    <w:rPr>
      <w:rFonts w:ascii="Times New Roman" w:hAnsi="Times New Roman" w:cs="Times New Roman"/>
      <w:sz w:val="24"/>
      <w:szCs w:val="24"/>
      <w:lang w:eastAsia="ru-RU"/>
    </w:rPr>
  </w:style>
  <w:style w:type="paragraph" w:styleId="654">
    <w:name w:val="Основной текст 2"/>
    <w:basedOn w:val="648"/>
    <w:next w:val="654"/>
    <w:link w:val="655"/>
    <w:uiPriority w:val="99"/>
    <w:pPr>
      <w:jc w:val="both"/>
      <w:spacing w:line="360" w:lineRule="auto"/>
    </w:pPr>
    <w:rPr>
      <w:lang w:val="en-US"/>
    </w:rPr>
  </w:style>
  <w:style w:type="character" w:styleId="655">
    <w:name w:val="Основной текст 2 Знак"/>
    <w:next w:val="655"/>
    <w:link w:val="65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656">
    <w:name w:val="ConsNonformat"/>
    <w:next w:val="656"/>
    <w:link w:val="64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57">
    <w:name w:val="ConsPlusNormal"/>
    <w:next w:val="657"/>
    <w:link w:val="648"/>
    <w:pPr>
      <w:ind w:firstLine="720"/>
    </w:pPr>
    <w:rPr>
      <w:rFonts w:ascii="Arial" w:hAnsi="Arial" w:cs="Arial"/>
      <w:lang w:val="ru-RU" w:eastAsia="ru-RU" w:bidi="ar-SA"/>
    </w:rPr>
  </w:style>
  <w:style w:type="paragraph" w:styleId="658">
    <w:name w:val="ConsPlusTitle"/>
    <w:next w:val="658"/>
    <w:link w:val="648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659">
    <w:name w:val="Верхний колонтитул"/>
    <w:basedOn w:val="648"/>
    <w:next w:val="659"/>
    <w:link w:val="66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60">
    <w:name w:val="Верхний колонтитул Знак"/>
    <w:next w:val="660"/>
    <w:link w:val="659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661">
    <w:name w:val="Номер страницы"/>
    <w:next w:val="661"/>
    <w:link w:val="648"/>
    <w:rPr>
      <w:rFonts w:cs="Times New Roman"/>
    </w:rPr>
  </w:style>
  <w:style w:type="paragraph" w:styleId="662">
    <w:name w:val="ConsPlusNonformat"/>
    <w:next w:val="662"/>
    <w:link w:val="648"/>
    <w:uiPriority w:val="99"/>
    <w:rPr>
      <w:rFonts w:ascii="Courier New" w:hAnsi="Courier New" w:cs="Courier New"/>
      <w:lang w:val="ru-RU" w:eastAsia="ru-RU" w:bidi="ar-SA"/>
    </w:rPr>
  </w:style>
  <w:style w:type="paragraph" w:styleId="663">
    <w:name w:val="Знак Знак Char Char Char Char Char Знак Знак"/>
    <w:basedOn w:val="648"/>
    <w:next w:val="663"/>
    <w:link w:val="64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664">
    <w:name w:val="Основной текст с отступом"/>
    <w:basedOn w:val="648"/>
    <w:next w:val="664"/>
    <w:link w:val="665"/>
    <w:uiPriority w:val="99"/>
    <w:semiHidden/>
    <w:pPr>
      <w:ind w:firstLine="540"/>
      <w:jc w:val="both"/>
    </w:pPr>
    <w:rPr>
      <w:lang w:val="en-US"/>
    </w:rPr>
  </w:style>
  <w:style w:type="character" w:styleId="665">
    <w:name w:val="Основной текст с отступом Знак"/>
    <w:next w:val="665"/>
    <w:link w:val="664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666">
    <w:name w:val="Основной текст с отступом 2"/>
    <w:basedOn w:val="648"/>
    <w:next w:val="666"/>
    <w:link w:val="667"/>
    <w:uiPriority w:val="99"/>
    <w:semiHidden/>
    <w:pPr>
      <w:ind w:firstLine="720"/>
      <w:jc w:val="both"/>
      <w:spacing w:line="360" w:lineRule="auto"/>
    </w:pPr>
    <w:rPr>
      <w:lang w:val="en-US"/>
    </w:rPr>
  </w:style>
  <w:style w:type="character" w:styleId="667">
    <w:name w:val="Основной текст с отступом 2 Знак"/>
    <w:next w:val="667"/>
    <w:link w:val="666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668">
    <w:name w:val="ConsPlusCell"/>
    <w:next w:val="668"/>
    <w:link w:val="648"/>
    <w:pPr>
      <w:widowControl w:val="off"/>
    </w:pPr>
    <w:rPr>
      <w:rFonts w:ascii="Arial" w:hAnsi="Arial" w:cs="Arial"/>
      <w:lang w:val="ru-RU" w:eastAsia="ru-RU" w:bidi="ar-SA"/>
    </w:rPr>
  </w:style>
  <w:style w:type="paragraph" w:styleId="669">
    <w:name w:val="Основной текст с отступом 3"/>
    <w:basedOn w:val="648"/>
    <w:next w:val="669"/>
    <w:link w:val="670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670">
    <w:name w:val="Основной текст с отступом 3 Знак"/>
    <w:next w:val="670"/>
    <w:link w:val="669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671">
    <w:name w:val="ConsNormal"/>
    <w:next w:val="671"/>
    <w:link w:val="64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72">
    <w:name w:val="ConsCell"/>
    <w:next w:val="672"/>
    <w:link w:val="648"/>
    <w:pPr>
      <w:widowControl w:val="off"/>
    </w:pPr>
    <w:rPr>
      <w:rFonts w:ascii="Arial" w:hAnsi="Arial" w:cs="Arial"/>
      <w:lang w:val="ru-RU" w:eastAsia="ru-RU" w:bidi="ar-SA"/>
    </w:rPr>
  </w:style>
  <w:style w:type="paragraph" w:styleId="673">
    <w:name w:val="Заголовок"/>
    <w:basedOn w:val="648"/>
    <w:next w:val="674"/>
    <w:link w:val="648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  <w:lang w:eastAsia="ar-SA"/>
    </w:rPr>
  </w:style>
  <w:style w:type="paragraph" w:styleId="674">
    <w:name w:val="Основной текст"/>
    <w:basedOn w:val="648"/>
    <w:next w:val="674"/>
    <w:link w:val="675"/>
    <w:uiPriority w:val="99"/>
    <w:semiHidden/>
    <w:unhideWhenUsed/>
    <w:pPr>
      <w:spacing w:after="120"/>
    </w:pPr>
    <w:rPr>
      <w:lang w:val="en-US"/>
    </w:rPr>
  </w:style>
  <w:style w:type="character" w:styleId="675">
    <w:name w:val="Основной текст Знак"/>
    <w:next w:val="675"/>
    <w:link w:val="674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676">
    <w:name w:val="Текст выноски"/>
    <w:basedOn w:val="648"/>
    <w:next w:val="676"/>
    <w:link w:val="677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77">
    <w:name w:val="Текст выноски Знак"/>
    <w:next w:val="677"/>
    <w:link w:val="67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78">
    <w:name w:val="Нижний колонтитул"/>
    <w:basedOn w:val="648"/>
    <w:next w:val="678"/>
    <w:link w:val="67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79">
    <w:name w:val="Нижний колонтитул Знак"/>
    <w:next w:val="679"/>
    <w:link w:val="678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680">
    <w:name w:val="Основной текст + Полужирный"/>
    <w:next w:val="680"/>
    <w:link w:val="648"/>
    <w:rPr>
      <w:rFonts w:ascii="Times New Roman" w:hAnsi="Times New Roman"/>
      <w:b/>
      <w:color w:val="000000"/>
      <w:spacing w:val="0"/>
      <w:position w:val="0"/>
      <w:sz w:val="26"/>
      <w:u w:val="none"/>
      <w:lang w:val="ru-RU"/>
    </w:rPr>
  </w:style>
  <w:style w:type="character" w:styleId="681">
    <w:name w:val="Гиперссылка"/>
    <w:next w:val="681"/>
    <w:link w:val="648"/>
    <w:uiPriority w:val="99"/>
    <w:unhideWhenUsed/>
    <w:rPr>
      <w:rFonts w:cs="Times New Roman"/>
      <w:color w:val="0000ff"/>
      <w:u w:val="single"/>
    </w:rPr>
  </w:style>
  <w:style w:type="paragraph" w:styleId="682">
    <w:name w:val="Абзац списка"/>
    <w:basedOn w:val="648"/>
    <w:next w:val="682"/>
    <w:link w:val="64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83">
    <w:name w:val="Без интервала"/>
    <w:next w:val="683"/>
    <w:link w:val="648"/>
    <w:uiPriority w:val="1"/>
    <w:qFormat/>
    <w:rPr>
      <w:rFonts w:cs="Times New Roman"/>
      <w:sz w:val="22"/>
      <w:szCs w:val="22"/>
      <w:lang w:val="ru-RU" w:eastAsia="en-US" w:bidi="ar-SA"/>
    </w:rPr>
  </w:style>
  <w:style w:type="numbering" w:styleId="684">
    <w:name w:val="Нет списка1"/>
    <w:next w:val="652"/>
    <w:link w:val="648"/>
    <w:uiPriority w:val="99"/>
    <w:semiHidden/>
    <w:unhideWhenUsed/>
  </w:style>
  <w:style w:type="table" w:styleId="685">
    <w:name w:val="Сетка таблицы"/>
    <w:basedOn w:val="651"/>
    <w:next w:val="685"/>
    <w:link w:val="648"/>
    <w:uiPriority w:val="59"/>
    <w:rPr>
      <w:rFonts w:cs="Times New Roman"/>
    </w:rPr>
    <w:tblPr/>
  </w:style>
  <w:style w:type="paragraph" w:styleId="686">
    <w:name w:val="ConsPlusTitlePage"/>
    <w:next w:val="686"/>
    <w:link w:val="648"/>
    <w:pPr>
      <w:widowControl w:val="off"/>
    </w:pPr>
    <w:rPr>
      <w:rFonts w:ascii="Tahoma" w:hAnsi="Tahoma" w:cs="Tahoma"/>
      <w:lang w:val="ru-RU" w:eastAsia="ru-RU" w:bidi="ar-SA"/>
    </w:rPr>
  </w:style>
  <w:style w:type="numbering" w:styleId="687">
    <w:name w:val="Нет списка2"/>
    <w:next w:val="652"/>
    <w:link w:val="648"/>
    <w:uiPriority w:val="99"/>
    <w:semiHidden/>
    <w:unhideWhenUsed/>
  </w:style>
  <w:style w:type="character" w:styleId="688">
    <w:name w:val="Просмотренная гиперссылка"/>
    <w:next w:val="688"/>
    <w:link w:val="648"/>
    <w:uiPriority w:val="99"/>
    <w:semiHidden/>
    <w:unhideWhenUsed/>
    <w:rPr>
      <w:color w:val="800080"/>
      <w:u w:val="single"/>
    </w:rPr>
  </w:style>
  <w:style w:type="paragraph" w:styleId="689">
    <w:name w:val="xl65"/>
    <w:basedOn w:val="648"/>
    <w:next w:val="689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0">
    <w:name w:val="xl66"/>
    <w:basedOn w:val="648"/>
    <w:next w:val="690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691">
    <w:name w:val="xl67"/>
    <w:basedOn w:val="648"/>
    <w:next w:val="691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2">
    <w:name w:val="xl68"/>
    <w:basedOn w:val="648"/>
    <w:next w:val="692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3">
    <w:name w:val="xl69"/>
    <w:basedOn w:val="648"/>
    <w:next w:val="693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4">
    <w:name w:val="xl70"/>
    <w:basedOn w:val="648"/>
    <w:next w:val="694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695">
    <w:name w:val="xl71"/>
    <w:basedOn w:val="648"/>
    <w:next w:val="695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6">
    <w:name w:val="xl72"/>
    <w:basedOn w:val="648"/>
    <w:next w:val="696"/>
    <w:link w:val="64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7">
    <w:name w:val="xl73"/>
    <w:basedOn w:val="648"/>
    <w:next w:val="697"/>
    <w:link w:val="64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8">
    <w:name w:val="xl74"/>
    <w:basedOn w:val="648"/>
    <w:next w:val="698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9">
    <w:name w:val="xl75"/>
    <w:basedOn w:val="648"/>
    <w:next w:val="699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700">
    <w:name w:val="xl76"/>
    <w:basedOn w:val="648"/>
    <w:next w:val="700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701">
    <w:name w:val="font5"/>
    <w:basedOn w:val="648"/>
    <w:next w:val="701"/>
    <w:link w:val="648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702">
    <w:name w:val="font6"/>
    <w:basedOn w:val="648"/>
    <w:next w:val="702"/>
    <w:link w:val="648"/>
    <w:pPr>
      <w:spacing w:before="100" w:beforeAutospacing="1" w:after="100" w:afterAutospacing="1"/>
    </w:pPr>
    <w:rPr>
      <w:color w:val="000000"/>
    </w:rPr>
  </w:style>
  <w:style w:type="paragraph" w:styleId="703">
    <w:name w:val="xl77"/>
    <w:basedOn w:val="648"/>
    <w:next w:val="703"/>
    <w:link w:val="64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704">
    <w:name w:val="xl78"/>
    <w:basedOn w:val="648"/>
    <w:next w:val="704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05">
    <w:name w:val="xl79"/>
    <w:basedOn w:val="648"/>
    <w:next w:val="705"/>
    <w:link w:val="64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06">
    <w:name w:val="xl80"/>
    <w:basedOn w:val="648"/>
    <w:next w:val="706"/>
    <w:link w:val="64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07">
    <w:name w:val="xl81"/>
    <w:basedOn w:val="648"/>
    <w:next w:val="707"/>
    <w:link w:val="64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08">
    <w:name w:val="xl82"/>
    <w:basedOn w:val="648"/>
    <w:next w:val="708"/>
    <w:link w:val="64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09">
    <w:name w:val="xl83"/>
    <w:basedOn w:val="648"/>
    <w:next w:val="709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10">
    <w:name w:val="xl84"/>
    <w:basedOn w:val="648"/>
    <w:next w:val="710"/>
    <w:link w:val="64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11">
    <w:name w:val="xl85"/>
    <w:basedOn w:val="648"/>
    <w:next w:val="711"/>
    <w:link w:val="64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2">
    <w:name w:val="xl86"/>
    <w:basedOn w:val="648"/>
    <w:next w:val="712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713">
    <w:name w:val="xl87"/>
    <w:basedOn w:val="648"/>
    <w:next w:val="713"/>
    <w:link w:val="64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14">
    <w:name w:val="xl88"/>
    <w:basedOn w:val="648"/>
    <w:next w:val="714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character" w:styleId="8641" w:default="1">
    <w:name w:val="Default Paragraph Font"/>
    <w:uiPriority w:val="1"/>
    <w:semiHidden/>
    <w:unhideWhenUsed/>
  </w:style>
  <w:style w:type="numbering" w:styleId="8642" w:default="1">
    <w:name w:val="No List"/>
    <w:uiPriority w:val="99"/>
    <w:semiHidden/>
    <w:unhideWhenUsed/>
  </w:style>
  <w:style w:type="table" w:styleId="86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revision>3</cp:revision>
  <dcterms:created xsi:type="dcterms:W3CDTF">2023-01-09T02:29:00Z</dcterms:created>
  <dcterms:modified xsi:type="dcterms:W3CDTF">2023-12-12T06:54:37Z</dcterms:modified>
  <cp:version>786432</cp:version>
</cp:coreProperties>
</file>